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r>
        <w:rPr>
          <w:b/>
          <w:u w:val="single"/>
        </w:rPr>
        <w:t>Задание на 20.3.20 для гр. 191.</w:t>
      </w:r>
    </w:p>
    <w:p>
      <w:pPr>
        <w:rPr>
          <w:b/>
          <w:u w:val="single"/>
        </w:rPr>
      </w:pPr>
    </w:p>
    <w:p>
      <w:r>
        <w:t>Учебник Алгебра и начала анализа, 10-11 кл. Алимов и др, Москва, 2007.</w:t>
      </w:r>
    </w:p>
    <w:p>
      <w:pPr>
        <w:rPr>
          <w:b/>
          <w:u w:val="single"/>
        </w:rPr>
      </w:pPr>
    </w:p>
    <w:p>
      <w:r>
        <w:t>1 пара. Действительные числа. Номера задание 9, 10, 11.</w:t>
      </w:r>
    </w:p>
    <w:p>
      <w:r>
        <w:t>2 пара. Бесконечно убывающая геометрическая прогрессия. Номера заданий 14, 15, 16.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2020-03-20T06:10:35Z</dcterms:created>
  <dc:creator>user</dc:creator>
  <cp:lastModifiedBy>user</cp:lastModifiedBy>
  <dcterms:modified xsi:type="dcterms:W3CDTF">2020-03-20T06:10:46Z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